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E" w:rsidRPr="00A96E01" w:rsidRDefault="00280609" w:rsidP="00D70D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6E01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Program Final examination </w:t>
      </w:r>
      <w:r w:rsidR="00D70D7E" w:rsidRPr="00A96E01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on discipline</w:t>
      </w:r>
      <w:r w:rsidR="00D70D7E" w:rsidRPr="00A96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81" w:rsidRPr="00A96E0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70D7E" w:rsidRPr="00A96E01">
        <w:rPr>
          <w:rFonts w:ascii="Times New Roman" w:hAnsi="Times New Roman" w:cs="Times New Roman"/>
          <w:b/>
          <w:sz w:val="24"/>
          <w:szCs w:val="24"/>
          <w:lang w:val="en-US"/>
        </w:rPr>
        <w:t>Proteomic technolog</w:t>
      </w:r>
      <w:r w:rsidR="000F779E">
        <w:rPr>
          <w:rFonts w:ascii="Times New Roman" w:hAnsi="Times New Roman" w:cs="Times New Roman"/>
          <w:b/>
          <w:sz w:val="24"/>
          <w:szCs w:val="24"/>
          <w:lang w:val="en-US"/>
        </w:rPr>
        <w:t>ies</w:t>
      </w:r>
    </w:p>
    <w:p w:rsidR="00D70D7E" w:rsidRPr="00A96E01" w:rsidRDefault="00D70D7E" w:rsidP="00D70D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0609" w:rsidRPr="00A96E01" w:rsidRDefault="00D2330B" w:rsidP="000F77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Numerous methods are available to study proteins, sets of proteins, or the whole proteome. In fact, proteins are often studied indirectly, e.g. using computational methods and analyses of genomes. </w:t>
      </w:r>
    </w:p>
    <w:p w:rsidR="00280609" w:rsidRPr="00A96E01" w:rsidRDefault="00280609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0609" w:rsidRPr="00A96E01" w:rsidRDefault="00514BFB" w:rsidP="00C162FA">
      <w:pPr>
        <w:ind w:firstLine="708"/>
        <w:rPr>
          <w:rFonts w:ascii="Times New Roman" w:hAnsi="Times New Roman" w:cs="Times New Roman"/>
          <w:sz w:val="24"/>
          <w:szCs w:val="24"/>
          <w:lang w:val="en"/>
        </w:rPr>
      </w:pP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proteome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term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is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 applied to several different types of biological systems. A </w:t>
      </w:r>
      <w:r w:rsidRPr="00A96E01">
        <w:rPr>
          <w:rFonts w:ascii="Times New Roman" w:hAnsi="Times New Roman" w:cs="Times New Roman"/>
          <w:b/>
          <w:bCs/>
          <w:sz w:val="24"/>
          <w:szCs w:val="24"/>
          <w:lang w:val="en"/>
        </w:rPr>
        <w:t>cellular proteome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 is the collection of proteins found in a particular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cell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 type under a particular set of environmental conditions such as exposure to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hormone stimulation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. It can also be useful to consider an organism's </w:t>
      </w:r>
      <w:r w:rsidRPr="00A96E01">
        <w:rPr>
          <w:rFonts w:ascii="Times New Roman" w:hAnsi="Times New Roman" w:cs="Times New Roman"/>
          <w:b/>
          <w:bCs/>
          <w:sz w:val="24"/>
          <w:szCs w:val="24"/>
          <w:lang w:val="en"/>
        </w:rPr>
        <w:t>complete proteome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, which can be conceptualized as the complete set of proteins from all of the various cellular proteomes. This is very roughly the protein equivalent of the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genome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. The term "proteome" has also been used to refer to the collection of proteins in certain sub-cellular biological systems. For example, all of the proteins in a virus can be called a viral proteome.</w:t>
      </w:r>
    </w:p>
    <w:p w:rsidR="00C162FA" w:rsidRPr="00A96E01" w:rsidRDefault="00C34813" w:rsidP="00C16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A96E01">
        <w:rPr>
          <w:rFonts w:ascii="Times New Roman" w:hAnsi="Times New Roman" w:cs="Times New Roman"/>
          <w:sz w:val="24"/>
          <w:szCs w:val="24"/>
          <w:lang w:val="en-US"/>
        </w:rPr>
        <w:t xml:space="preserve">Module 1 </w:t>
      </w:r>
      <w:r w:rsidR="00C162FA"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High-throughput proteomic technologies</w:t>
      </w:r>
      <w:r w:rsidR="00C162FA"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. </w:t>
      </w:r>
      <w:r w:rsidR="00C162FA"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Current research methodologies </w:t>
      </w:r>
    </w:p>
    <w:p w:rsidR="00280609" w:rsidRPr="00A96E01" w:rsidRDefault="00514BFB" w:rsidP="00D233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E01">
        <w:rPr>
          <w:rFonts w:ascii="Times New Roman" w:hAnsi="Times New Roman" w:cs="Times New Roman"/>
          <w:sz w:val="24"/>
          <w:szCs w:val="24"/>
          <w:lang w:val="en-US"/>
        </w:rPr>
        <w:t>Study in Proteins.</w:t>
      </w:r>
    </w:p>
    <w:p w:rsidR="00D2330B" w:rsidRPr="00A96E01" w:rsidRDefault="00D2330B" w:rsidP="00D2330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6E01">
        <w:rPr>
          <w:rFonts w:ascii="Times New Roman" w:hAnsi="Times New Roman" w:cs="Times New Roman"/>
          <w:bCs/>
          <w:sz w:val="24"/>
          <w:szCs w:val="24"/>
          <w:lang w:val="en-US"/>
        </w:rPr>
        <w:t>Practical significance of study in Proteins</w:t>
      </w:r>
    </w:p>
    <w:p w:rsidR="00D2330B" w:rsidRPr="00A96E01" w:rsidRDefault="00D2330B" w:rsidP="00D2330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6E01">
        <w:rPr>
          <w:rFonts w:ascii="Times New Roman" w:hAnsi="Times New Roman" w:cs="Times New Roman"/>
          <w:sz w:val="24"/>
          <w:szCs w:val="24"/>
          <w:lang w:val="en-US"/>
        </w:rPr>
        <w:t xml:space="preserve">Study and methodology of three-dimensional </w:t>
      </w:r>
      <w:proofErr w:type="gramStart"/>
      <w:r w:rsidRPr="00A96E01">
        <w:rPr>
          <w:rFonts w:ascii="Times New Roman" w:hAnsi="Times New Roman" w:cs="Times New Roman"/>
          <w:sz w:val="24"/>
          <w:szCs w:val="24"/>
          <w:lang w:val="en-US"/>
        </w:rPr>
        <w:t>structure  (</w:t>
      </w:r>
      <w:proofErr w:type="gramEnd"/>
      <w:r w:rsidRPr="00A96E0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3 D</w:t>
      </w:r>
      <w:r w:rsidRPr="00A96E01">
        <w:rPr>
          <w:rFonts w:ascii="Times New Roman" w:hAnsi="Times New Roman" w:cs="Times New Roman"/>
          <w:sz w:val="24"/>
          <w:szCs w:val="24"/>
          <w:lang w:val="en-US"/>
        </w:rPr>
        <w:t xml:space="preserve"> ) of proteins ,</w:t>
      </w:r>
    </w:p>
    <w:p w:rsidR="00D2330B" w:rsidRPr="00A96E01" w:rsidRDefault="00D2330B" w:rsidP="00D2330B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6E01">
        <w:rPr>
          <w:rFonts w:ascii="Times New Roman" w:hAnsi="Times New Roman" w:cs="Times New Roman"/>
          <w:bCs/>
          <w:sz w:val="24"/>
          <w:szCs w:val="24"/>
          <w:lang w:val="en-US"/>
        </w:rPr>
        <w:t>The principle of NMR spectroscopy. Using NMR spectroscopy in study of proteins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procedure for NMR solution structure determination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280609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Methods of 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 crystallography</w:t>
            </w:r>
            <w:r w:rsidRPr="00A96E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proofErr w:type="spellStart"/>
            <w:r w:rsidRPr="00A96E01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rocedure</w:t>
            </w:r>
            <w:proofErr w:type="spellEnd"/>
            <w:r w:rsidRPr="00A96E01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 using 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 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X-ray crystallography in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of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Mechanisms of phosphorylation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Protein kinases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Method of detection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Major research methods in study of p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rotein post-translational modification (PTM)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Significance of phosphorylation in signal transduction cascades and methods to determine them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70D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Using of </w:t>
            </w:r>
            <w:proofErr w:type="spellStart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immonodetection</w:t>
            </w:r>
            <w:proofErr w:type="spellEnd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in protein 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phosphorylation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34495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Using of immunochemistry in  study of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The mass spectrometry methods in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of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 vitro analysis of protein phosphorylation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Quantitative Mass spectrometry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Matrix-assisted laser desorption ionization in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proteomic analysis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Electrospray ionization in proteomic analysis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Two-dimensional gel electrophoresis. Using. Stages.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2330B" w:rsidRPr="00A96E01" w:rsidRDefault="00D2330B" w:rsidP="00C65B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162FA" w:rsidRPr="00A96E01" w:rsidRDefault="00C34813" w:rsidP="00C162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2FA" w:rsidRPr="00A9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Technologies used for p</w:t>
            </w:r>
            <w:r w:rsidR="00C162FA" w:rsidRPr="00A9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ost-translational modifications</w:t>
            </w:r>
            <w:r w:rsidR="00C162FA" w:rsidRPr="00A9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studies</w:t>
            </w:r>
          </w:p>
          <w:p w:rsidR="00D2330B" w:rsidRPr="00A96E01" w:rsidRDefault="000F779E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Protein post-translational modification (PTM)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Protein methylation as p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rotein post-translational modification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C65B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Methods in study of p</w:t>
            </w:r>
            <w:proofErr w:type="spellStart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</w:t>
            </w:r>
            <w:proofErr w:type="spellEnd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methylation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F9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Phosphoprotein enrichment methodology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Significance of acetylation of proteins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Protein acetylation  as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post-translational regulatory mechanism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Strategies for the detection of acetylated proteins.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confirmation of  the presence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acetylation in proteins (radioactive detection or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immunodetection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techniques)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6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spectrometry as method to confirm the identity of the protein and to reveal the number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acetylation sites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vitro method to separate  acetylated proteins </w:t>
            </w:r>
            <w:r w:rsidRPr="00A96E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1D, one-dimensional/ 2D, two-dimensional electrophoresis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6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vitro method to separate  acetylated proteins  using chromatography- based method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Immunodetection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 in study of acetylated proteins using acetyl-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lycine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specific antibodies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07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of determination of intact molecular  weight of acetylated proteins using mass spectrometry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6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Western blotting 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study of acetylated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2330B">
            <w:pPr>
              <w:ind w:right="-27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Immunohistochemical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in study of acetylated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spectrometric analysis of  acetylated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Proteins glycosylation, a post-translational modification (PTM). </w:t>
            </w:r>
          </w:p>
        </w:tc>
      </w:tr>
      <w:tr w:rsidR="00D2330B" w:rsidRPr="00A96E01" w:rsidTr="00D2330B">
        <w:trPr>
          <w:trHeight w:val="32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  of  proteins g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lycosylation</w:t>
            </w:r>
            <w:r w:rsidRPr="00A96E01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Types of 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protein g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lycosylation and methods of their determination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6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Methods to detect and analyze glycoproteins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Glycan staining or labeling  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study of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glycosalated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Method of glycoprotein purification or enrichment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6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Principles of </w:t>
            </w:r>
            <w:proofErr w:type="spellStart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glycoproteome</w:t>
            </w:r>
            <w:proofErr w:type="spellEnd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glycome</w:t>
            </w:r>
            <w:proofErr w:type="spellEnd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analysis by mass spectrometry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general approach of quantitative proteomics.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stable isotopes</w:t>
            </w:r>
            <w:r w:rsidRPr="00A96E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in quantitative proteomics.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SILAC, stable isotope labeling with amino acids in cell culture  method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Origin and function of ubiquitin-like protein conjugation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Stable isotope labeling in mass spectrometry-based quantitative proteomics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use of stable isotopes in proteomics (Isotope-coded affinity tags (ICATTM) methodology).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Enzymatic labeling in q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uantitative proteomics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 AQUATM (Absolute quantification in quantitative proteomics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Origin and function of ubiquitin-like protein conjugation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Ubiquitination is an enzymatic, protein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post-translational modification (PTM)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AF3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Activation of system ubiquitin</w:t>
            </w:r>
            <w:r w:rsidRPr="00A96E01">
              <w:rPr>
                <w:rFonts w:ascii="Times New Roman" w:eastAsia="+mj-ea" w:hAnsi="Times New Roman" w:cs="Times New Roman"/>
                <w:bCs/>
                <w:color w:val="EAD696"/>
                <w:kern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Function and variety of ubiquitin modifications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Technology to determine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ubiquitylation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 protein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Multiple procedures  to determine  a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ubiquitylated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to investigate the factors that specifically target the substrate for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ubiquitylation</w:t>
            </w:r>
            <w:proofErr w:type="spellEnd"/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to determine the site of ubiquitin conjugation.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methods to determine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ubiquitylation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 protein: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 to determine a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ubiquitylated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 in vivo </w:t>
            </w:r>
          </w:p>
        </w:tc>
      </w:tr>
      <w:tr w:rsidR="00D2330B" w:rsidRPr="00A96E01" w:rsidTr="00D2330B">
        <w:trPr>
          <w:trHeight w:val="49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 to determine a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ubiquitylated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 in vitro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D233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Technology to determine the site </w:t>
            </w:r>
            <w:proofErr w:type="gram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ubiquitylation</w:t>
            </w:r>
            <w:proofErr w:type="spellEnd"/>
            <w:proofErr w:type="gram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(on a lysine residue or the N‐terminal ‐amino group).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Western blot analysis to identify the </w:t>
            </w: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ubiquitylated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species.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Method to preserve the </w:t>
            </w:r>
            <w:proofErr w:type="spellStart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ubiquitylated</w:t>
            </w:r>
            <w:proofErr w:type="spellEnd"/>
            <w:r w:rsidRPr="00A96E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forms before analysis of them (using an inhibitor of the proteasome for cells)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BD5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 blot analysis in proteomics technology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Affinite</w:t>
            </w:r>
            <w:proofErr w:type="spellEnd"/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chromatography in proteomics technology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use of high performance liquid chromatography H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LPC in study of proteins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BD5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Protein</w:t>
            </w:r>
            <w:proofErr w:type="spellEnd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lipidation</w:t>
            </w:r>
            <w:proofErr w:type="spellEnd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stages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 principles of high performance liquid chromatography</w:t>
            </w:r>
            <w:r w:rsidRPr="00A96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HLPC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Regulation of protein trafficking by </w:t>
            </w:r>
            <w:proofErr w:type="spellStart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palmitoylation</w:t>
            </w:r>
            <w:proofErr w:type="spellEnd"/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544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Regulation by </w:t>
            </w:r>
            <w:r w:rsidRPr="00A96E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US" w:eastAsia="en-US"/>
              </w:rPr>
              <w:t>S</w:t>
            </w:r>
            <w:r w:rsidRPr="00A96E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-</w:t>
            </w:r>
            <w:proofErr w:type="spellStart"/>
            <w:r w:rsidRPr="00A96E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Nitrosylation</w:t>
            </w:r>
            <w:proofErr w:type="spellEnd"/>
            <w:r w:rsidRPr="00A96E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of protein post-translational modification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 methylation of proteins, its significance and main approaches to study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Methods of determination of arginine-methylated protein complexes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MALDI-</w:t>
            </w:r>
            <w:proofErr w:type="spellStart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ToF</w:t>
            </w:r>
            <w:proofErr w:type="spellEnd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peptide mass fingerprinting spectra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544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The principles of CNE, </w:t>
            </w:r>
            <w:r w:rsidRPr="00A96E0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>clear native electrophoresis</w:t>
            </w: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Methods in</w:t>
            </w:r>
            <w:r w:rsidRPr="00A96E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A96E0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study of</w:t>
            </w:r>
            <w:r w:rsidRPr="00A96E01">
              <w:rPr>
                <w:rStyle w:val="shorttext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A96E0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protein-protein</w:t>
            </w:r>
            <w:r w:rsidRPr="00A96E01">
              <w:rPr>
                <w:rStyle w:val="shorttext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A96E0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inter-</w:t>
            </w:r>
            <w:r w:rsidRPr="00A96E0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A96E01">
              <w:rPr>
                <w:rStyle w:val="hps"/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interaction ( two-hybrid system)</w:t>
            </w:r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4D5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Technology in study of protein </w:t>
            </w:r>
            <w:proofErr w:type="spellStart"/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lipidation</w:t>
            </w:r>
            <w:proofErr w:type="spellEnd"/>
          </w:p>
        </w:tc>
      </w:tr>
      <w:tr w:rsidR="00D2330B" w:rsidRPr="00A96E01" w:rsidTr="00D2330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2330B" w:rsidRPr="00A96E01" w:rsidRDefault="00D2330B" w:rsidP="00544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0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The principles of  BNE, </w:t>
            </w:r>
            <w:r w:rsidRPr="00A96E0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>blue-native electrophoresis</w:t>
            </w:r>
          </w:p>
        </w:tc>
      </w:tr>
    </w:tbl>
    <w:p w:rsidR="00C162FA" w:rsidRPr="00A96E01" w:rsidRDefault="00C34813" w:rsidP="00C162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Module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2FA"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Protein detection with antibodies (immunoassays)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>enzyme-linked immunosorbent assay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(ELISA) has been used for decades to detect and quantitatively measure proteins in samples. The 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>Western blot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can be used for detection and quantification of individual proteins, where in an initial step a complex protein mixture is separated using 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>SDS-PAGE</w:t>
      </w:r>
      <w:r w:rsidR="00C162FA"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then the protein of interest is identified using an antibody. </w:t>
      </w:r>
    </w:p>
    <w:p w:rsidR="00C162FA" w:rsidRPr="00A96E01" w:rsidRDefault="00C162FA" w:rsidP="00C162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Hybrid </w:t>
      </w:r>
      <w:proofErr w:type="gramStart"/>
      <w:r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technologies </w:t>
      </w:r>
      <w:r w:rsidRPr="00A96E01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>Examples</w:t>
      </w:r>
      <w:proofErr w:type="gramEnd"/>
      <w:r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these methods are the </w:t>
      </w:r>
      <w:r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>MSIA (mass spectrometric immunoassay)</w:t>
      </w:r>
      <w:r w:rsidRPr="00A96E0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developed by Randall Nelson in 1995 and the SISCAPA (Stable Isotope Standard Capture with Anti-Peptide Antibodies) method, introduced by Leigh Anderson in 2004. </w:t>
      </w:r>
    </w:p>
    <w:p w:rsidR="00C162FA" w:rsidRPr="00A96E01" w:rsidRDefault="00C162FA" w:rsidP="00C162F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F10CBF" w:rsidRPr="00A96E01" w:rsidRDefault="00F10CBF" w:rsidP="00F10CBF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280609" w:rsidRPr="00A96E01" w:rsidRDefault="00280609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280609" w:rsidRPr="00A96E01" w:rsidRDefault="00280609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96E01">
        <w:rPr>
          <w:rStyle w:val="hps"/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>
            <wp:extent cx="5940425" cy="4455319"/>
            <wp:effectExtent l="0" t="0" r="3175" b="2540"/>
            <wp:docPr id="1" name="Рисунок 1" descr="D:\UMKD Proteome tech\Metabolomics_sc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KD Proteome tech\Metabolomics_sche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0B" w:rsidRPr="00A96E01" w:rsidRDefault="00D2330B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2330B" w:rsidRPr="00A96E01" w:rsidRDefault="00D2330B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General schema showing the relationships of the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genome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transcriptome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, proteome, and 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>metabolome</w:t>
      </w:r>
      <w:r w:rsidRPr="00A96E01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A96E01">
        <w:rPr>
          <w:rFonts w:ascii="Times New Roman" w:hAnsi="Times New Roman" w:cs="Times New Roman"/>
          <w:sz w:val="24"/>
          <w:szCs w:val="24"/>
          <w:lang w:val="en"/>
        </w:rPr>
        <w:t>lipidome</w:t>
      </w:r>
      <w:proofErr w:type="spellEnd"/>
      <w:r w:rsidRPr="00A96E01">
        <w:rPr>
          <w:rFonts w:ascii="Times New Roman" w:hAnsi="Times New Roman" w:cs="Times New Roman"/>
          <w:sz w:val="24"/>
          <w:szCs w:val="24"/>
          <w:lang w:val="en"/>
        </w:rPr>
        <w:t>).</w:t>
      </w:r>
    </w:p>
    <w:p w:rsidR="00D2330B" w:rsidRPr="00A96E01" w:rsidRDefault="00D2330B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A62C3E" w:rsidRPr="00A96E01" w:rsidRDefault="00A62C3E" w:rsidP="00F10C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E01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The teacher,</w:t>
      </w:r>
      <w:r w:rsidRPr="00A96E01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 w:rsidRPr="00A96E01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prof.</w:t>
      </w:r>
      <w:r w:rsidRPr="00A96E0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Pr="00A96E01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S.S.</w:t>
      </w:r>
      <w:r w:rsidRPr="00A96E0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A96E01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Kenzhebayeva</w:t>
      </w:r>
      <w:proofErr w:type="spellEnd"/>
    </w:p>
    <w:p w:rsidR="00A62C3E" w:rsidRPr="00A96E01" w:rsidRDefault="00A62C3E" w:rsidP="00F10CB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62C3E" w:rsidRPr="00A96E01" w:rsidSect="00F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15B7"/>
    <w:rsid w:val="00045948"/>
    <w:rsid w:val="00055977"/>
    <w:rsid w:val="000837A3"/>
    <w:rsid w:val="00093ABC"/>
    <w:rsid w:val="000C0EC6"/>
    <w:rsid w:val="000D7F62"/>
    <w:rsid w:val="000E11F7"/>
    <w:rsid w:val="000F779E"/>
    <w:rsid w:val="00155ABB"/>
    <w:rsid w:val="00187AF2"/>
    <w:rsid w:val="00194BBB"/>
    <w:rsid w:val="001D3AB9"/>
    <w:rsid w:val="001F758B"/>
    <w:rsid w:val="002177A3"/>
    <w:rsid w:val="002221F5"/>
    <w:rsid w:val="0022422C"/>
    <w:rsid w:val="00253D20"/>
    <w:rsid w:val="00260F5B"/>
    <w:rsid w:val="00280609"/>
    <w:rsid w:val="00284F81"/>
    <w:rsid w:val="002970BC"/>
    <w:rsid w:val="002F3963"/>
    <w:rsid w:val="003178E1"/>
    <w:rsid w:val="00344957"/>
    <w:rsid w:val="00352AE9"/>
    <w:rsid w:val="00363C9A"/>
    <w:rsid w:val="00386026"/>
    <w:rsid w:val="00390920"/>
    <w:rsid w:val="003B768A"/>
    <w:rsid w:val="003D449C"/>
    <w:rsid w:val="00402EBF"/>
    <w:rsid w:val="00407ED6"/>
    <w:rsid w:val="00420160"/>
    <w:rsid w:val="00435A65"/>
    <w:rsid w:val="0044272A"/>
    <w:rsid w:val="00445098"/>
    <w:rsid w:val="004B3368"/>
    <w:rsid w:val="004D5CFF"/>
    <w:rsid w:val="004D6B03"/>
    <w:rsid w:val="005019F4"/>
    <w:rsid w:val="00514BFB"/>
    <w:rsid w:val="00520E5D"/>
    <w:rsid w:val="005444B6"/>
    <w:rsid w:val="00590E26"/>
    <w:rsid w:val="005A3221"/>
    <w:rsid w:val="005A417D"/>
    <w:rsid w:val="005D1F31"/>
    <w:rsid w:val="006102BF"/>
    <w:rsid w:val="0063696D"/>
    <w:rsid w:val="006522BA"/>
    <w:rsid w:val="006A7653"/>
    <w:rsid w:val="006B01AD"/>
    <w:rsid w:val="006E3096"/>
    <w:rsid w:val="006E3FE5"/>
    <w:rsid w:val="007137EE"/>
    <w:rsid w:val="00776B9B"/>
    <w:rsid w:val="007E69D2"/>
    <w:rsid w:val="00815E34"/>
    <w:rsid w:val="00847C5C"/>
    <w:rsid w:val="008A11A8"/>
    <w:rsid w:val="008A12B3"/>
    <w:rsid w:val="008C6835"/>
    <w:rsid w:val="008F1E8A"/>
    <w:rsid w:val="00914A99"/>
    <w:rsid w:val="009345DA"/>
    <w:rsid w:val="00945B3A"/>
    <w:rsid w:val="00962E9A"/>
    <w:rsid w:val="009C2355"/>
    <w:rsid w:val="009D30B6"/>
    <w:rsid w:val="009F5EBB"/>
    <w:rsid w:val="00A22D22"/>
    <w:rsid w:val="00A241D3"/>
    <w:rsid w:val="00A456E7"/>
    <w:rsid w:val="00A53DD7"/>
    <w:rsid w:val="00A62C3E"/>
    <w:rsid w:val="00A96E01"/>
    <w:rsid w:val="00AA555F"/>
    <w:rsid w:val="00AC4FA4"/>
    <w:rsid w:val="00AC5E31"/>
    <w:rsid w:val="00AF3FEB"/>
    <w:rsid w:val="00B00BF9"/>
    <w:rsid w:val="00B20062"/>
    <w:rsid w:val="00B4693A"/>
    <w:rsid w:val="00B56AB3"/>
    <w:rsid w:val="00BA653F"/>
    <w:rsid w:val="00BC2A9E"/>
    <w:rsid w:val="00BD54AA"/>
    <w:rsid w:val="00BE6903"/>
    <w:rsid w:val="00BF2634"/>
    <w:rsid w:val="00C162FA"/>
    <w:rsid w:val="00C34813"/>
    <w:rsid w:val="00C55418"/>
    <w:rsid w:val="00C65B13"/>
    <w:rsid w:val="00C70D54"/>
    <w:rsid w:val="00C74A83"/>
    <w:rsid w:val="00CB04D2"/>
    <w:rsid w:val="00D23105"/>
    <w:rsid w:val="00D2330B"/>
    <w:rsid w:val="00D37E29"/>
    <w:rsid w:val="00D5083C"/>
    <w:rsid w:val="00D70D7E"/>
    <w:rsid w:val="00D72989"/>
    <w:rsid w:val="00D77517"/>
    <w:rsid w:val="00DA1BAD"/>
    <w:rsid w:val="00DA7513"/>
    <w:rsid w:val="00DB50F0"/>
    <w:rsid w:val="00DE480C"/>
    <w:rsid w:val="00E34760"/>
    <w:rsid w:val="00E40EE8"/>
    <w:rsid w:val="00E53615"/>
    <w:rsid w:val="00E62AEC"/>
    <w:rsid w:val="00E70BD4"/>
    <w:rsid w:val="00E85002"/>
    <w:rsid w:val="00E93681"/>
    <w:rsid w:val="00EF6EA4"/>
    <w:rsid w:val="00F0651D"/>
    <w:rsid w:val="00F10CBF"/>
    <w:rsid w:val="00F73E86"/>
    <w:rsid w:val="00F74102"/>
    <w:rsid w:val="00F919A1"/>
    <w:rsid w:val="00F95506"/>
    <w:rsid w:val="00FC7646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A8EC"/>
  <w15:docId w15:val="{10F0597F-8929-4336-966F-2B00610F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70D7E"/>
  </w:style>
  <w:style w:type="character" w:customStyle="1" w:styleId="hps">
    <w:name w:val="hps"/>
    <w:basedOn w:val="a0"/>
    <w:rsid w:val="00D70D7E"/>
  </w:style>
  <w:style w:type="paragraph" w:styleId="a5">
    <w:name w:val="List Paragraph"/>
    <w:basedOn w:val="a"/>
    <w:uiPriority w:val="34"/>
    <w:qFormat/>
    <w:rsid w:val="00407ED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4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0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7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Ахметов Берик</dc:creator>
  <cp:lastModifiedBy>Сауле Кенжебаева</cp:lastModifiedBy>
  <cp:revision>5</cp:revision>
  <cp:lastPrinted>2011-11-20T16:44:00Z</cp:lastPrinted>
  <dcterms:created xsi:type="dcterms:W3CDTF">2018-11-10T14:59:00Z</dcterms:created>
  <dcterms:modified xsi:type="dcterms:W3CDTF">2018-11-10T15:27:00Z</dcterms:modified>
</cp:coreProperties>
</file>